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E4301" w:rsidRPr="00D97A3D" w:rsidRDefault="004353EC" w:rsidP="00D97A3D">
      <w:pPr>
        <w:bidi/>
        <w:jc w:val="center"/>
        <w:rPr>
          <w:color w:val="002060"/>
          <w:rtl/>
          <w:lang w:bidi="fa-IR"/>
        </w:rPr>
      </w:pPr>
      <w:r w:rsidRPr="00D97A3D">
        <w:rPr>
          <w:rFonts w:hint="cs"/>
          <w:color w:val="002060"/>
          <w:rtl/>
          <w:lang w:bidi="fa-IR"/>
        </w:rPr>
        <w:t>خارج اصول</w:t>
      </w:r>
    </w:p>
    <w:p w:rsidR="004353EC" w:rsidRPr="00D97A3D" w:rsidRDefault="00517A64" w:rsidP="00D97A3D">
      <w:pPr>
        <w:bidi/>
        <w:jc w:val="center"/>
        <w:rPr>
          <w:color w:val="002060"/>
          <w:rtl/>
          <w:lang w:bidi="fa-IR"/>
        </w:rPr>
      </w:pPr>
      <w:r w:rsidRPr="00D97A3D">
        <w:rPr>
          <w:rFonts w:hint="cs"/>
          <w:color w:val="002060"/>
          <w:rtl/>
          <w:lang w:bidi="fa-IR"/>
        </w:rPr>
        <w:t>جلسه60</w:t>
      </w:r>
      <w:r w:rsidR="007D38C3" w:rsidRPr="00D97A3D">
        <w:rPr>
          <w:rFonts w:hint="cs"/>
          <w:color w:val="002060"/>
          <w:rtl/>
          <w:lang w:bidi="fa-IR"/>
        </w:rPr>
        <w:t xml:space="preserve"> * دوشنبه 16/ 10/ 98</w:t>
      </w:r>
    </w:p>
    <w:p w:rsidR="004353EC" w:rsidRPr="00D97A3D" w:rsidRDefault="004353EC" w:rsidP="00D97A3D">
      <w:pPr>
        <w:pBdr>
          <w:bottom w:val="single" w:sz="12" w:space="1" w:color="auto"/>
        </w:pBdr>
        <w:tabs>
          <w:tab w:val="left" w:pos="2907"/>
        </w:tabs>
        <w:bidi/>
        <w:jc w:val="center"/>
        <w:rPr>
          <w:color w:val="FF0000"/>
          <w:rtl/>
          <w:lang w:bidi="fa-IR"/>
        </w:rPr>
      </w:pPr>
      <w:r w:rsidRPr="00D97A3D">
        <w:rPr>
          <w:rFonts w:hint="cs"/>
          <w:color w:val="FF0000"/>
          <w:rtl/>
          <w:lang w:bidi="fa-IR"/>
        </w:rPr>
        <w:t>موضوع</w:t>
      </w:r>
      <w:r w:rsidR="007D38C3" w:rsidRPr="00D97A3D">
        <w:rPr>
          <w:rFonts w:hint="cs"/>
          <w:color w:val="FF0000"/>
          <w:rtl/>
          <w:lang w:bidi="fa-IR"/>
        </w:rPr>
        <w:t>: مقدمه ی واجب</w:t>
      </w:r>
    </w:p>
    <w:p w:rsidR="004353EC" w:rsidRDefault="00DD210B" w:rsidP="004233F5">
      <w:pPr>
        <w:bidi/>
        <w:rPr>
          <w:rtl/>
          <w:lang w:bidi="fa-IR"/>
        </w:rPr>
      </w:pPr>
      <w:r>
        <w:rPr>
          <w:rFonts w:hint="cs"/>
          <w:rtl/>
          <w:lang w:bidi="fa-IR"/>
        </w:rPr>
        <w:t>کلام در فرمایش حض</w:t>
      </w:r>
      <w:r w:rsidR="00E17E81">
        <w:rPr>
          <w:rFonts w:hint="cs"/>
          <w:rtl/>
          <w:lang w:bidi="fa-IR"/>
        </w:rPr>
        <w:t>رت امام بود. ایشان فرمودند تحقی</w:t>
      </w:r>
      <w:r w:rsidR="004233F5">
        <w:rPr>
          <w:rFonts w:hint="cs"/>
          <w:rtl/>
          <w:lang w:bidi="fa-IR"/>
        </w:rPr>
        <w:t>ق</w:t>
      </w:r>
      <w:r w:rsidR="00E17E81">
        <w:rPr>
          <w:rFonts w:hint="cs"/>
          <w:rtl/>
          <w:lang w:bidi="fa-IR"/>
        </w:rPr>
        <w:t>،</w:t>
      </w:r>
      <w:r>
        <w:rPr>
          <w:rFonts w:hint="cs"/>
          <w:rtl/>
          <w:lang w:bidi="fa-IR"/>
        </w:rPr>
        <w:t xml:space="preserve"> عدم </w:t>
      </w:r>
      <w:r w:rsidR="00E17E81">
        <w:rPr>
          <w:rFonts w:hint="cs"/>
          <w:rtl/>
          <w:lang w:bidi="fa-IR"/>
        </w:rPr>
        <w:t>وجوب مقد</w:t>
      </w:r>
      <w:r w:rsidR="00D97A3D">
        <w:rPr>
          <w:rFonts w:hint="cs"/>
          <w:rtl/>
          <w:lang w:bidi="fa-IR"/>
        </w:rPr>
        <w:t>ّ</w:t>
      </w:r>
      <w:r w:rsidR="00E17E81">
        <w:rPr>
          <w:rFonts w:hint="cs"/>
          <w:rtl/>
          <w:lang w:bidi="fa-IR"/>
        </w:rPr>
        <w:t xml:space="preserve">مه و عدم </w:t>
      </w:r>
      <w:r>
        <w:rPr>
          <w:rFonts w:hint="cs"/>
          <w:rtl/>
          <w:lang w:bidi="fa-IR"/>
        </w:rPr>
        <w:t>ملازمه</w:t>
      </w:r>
      <w:r w:rsidR="004233F5">
        <w:rPr>
          <w:rFonts w:hint="cs"/>
          <w:rtl/>
          <w:lang w:bidi="fa-IR"/>
        </w:rPr>
        <w:t xml:space="preserve"> بین وجوب</w:t>
      </w:r>
      <w:r w:rsidR="00E17E81">
        <w:rPr>
          <w:rFonts w:hint="cs"/>
          <w:rtl/>
          <w:lang w:bidi="fa-IR"/>
        </w:rPr>
        <w:t xml:space="preserve"> ذی</w:t>
      </w:r>
      <w:r w:rsidR="00CE4FC8">
        <w:rPr>
          <w:rFonts w:hint="cs"/>
          <w:rtl/>
          <w:lang w:bidi="fa-IR"/>
        </w:rPr>
        <w:t xml:space="preserve"> المقد</w:t>
      </w:r>
      <w:r w:rsidR="00D97A3D">
        <w:rPr>
          <w:rFonts w:hint="cs"/>
          <w:rtl/>
          <w:lang w:bidi="fa-IR"/>
        </w:rPr>
        <w:t>ّ</w:t>
      </w:r>
      <w:r w:rsidR="00CE4FC8">
        <w:rPr>
          <w:rFonts w:hint="cs"/>
          <w:rtl/>
          <w:lang w:bidi="fa-IR"/>
        </w:rPr>
        <w:t>مه و وجوب مقد</w:t>
      </w:r>
      <w:r w:rsidR="00D97A3D">
        <w:rPr>
          <w:rFonts w:hint="cs"/>
          <w:rtl/>
          <w:lang w:bidi="fa-IR"/>
        </w:rPr>
        <w:t>ّ</w:t>
      </w:r>
      <w:r w:rsidR="00CE4FC8">
        <w:rPr>
          <w:rFonts w:hint="cs"/>
          <w:rtl/>
          <w:lang w:bidi="fa-IR"/>
        </w:rPr>
        <w:t>مه است شرعاً.</w:t>
      </w:r>
    </w:p>
    <w:p w:rsidR="00DD210B" w:rsidRDefault="00DD210B" w:rsidP="00DD210B">
      <w:pPr>
        <w:bidi/>
        <w:rPr>
          <w:rtl/>
          <w:lang w:bidi="fa-IR"/>
        </w:rPr>
      </w:pPr>
      <w:r>
        <w:rPr>
          <w:rFonts w:hint="cs"/>
          <w:rtl/>
          <w:lang w:bidi="fa-IR"/>
        </w:rPr>
        <w:t>می فرمایند: اراده ی تشریعی</w:t>
      </w:r>
      <w:r w:rsidR="004233F5">
        <w:rPr>
          <w:rFonts w:hint="cs"/>
          <w:rtl/>
          <w:lang w:bidi="fa-IR"/>
        </w:rPr>
        <w:t>ّ</w:t>
      </w:r>
      <w:r>
        <w:rPr>
          <w:rFonts w:hint="cs"/>
          <w:rtl/>
          <w:lang w:bidi="fa-IR"/>
        </w:rPr>
        <w:t>ه عبارت است از</w:t>
      </w:r>
      <w:r w:rsidR="004233F5">
        <w:rPr>
          <w:rFonts w:hint="cs"/>
          <w:rtl/>
          <w:lang w:bidi="fa-IR"/>
        </w:rPr>
        <w:t xml:space="preserve"> اراده ی بعث و زجر نسبت به چیزی؛</w:t>
      </w:r>
      <w:r>
        <w:rPr>
          <w:rFonts w:hint="cs"/>
          <w:rtl/>
          <w:lang w:bidi="fa-IR"/>
        </w:rPr>
        <w:t xml:space="preserve"> و هیچ گاه بمعنای اراده ی فعل خارجی نیست زیرا در باب تکالیف الهی</w:t>
      </w:r>
      <w:r w:rsidR="004233F5">
        <w:rPr>
          <w:rFonts w:hint="cs"/>
          <w:rtl/>
          <w:lang w:bidi="fa-IR"/>
        </w:rPr>
        <w:t>،</w:t>
      </w:r>
      <w:r>
        <w:rPr>
          <w:rFonts w:hint="cs"/>
          <w:rtl/>
          <w:lang w:bidi="fa-IR"/>
        </w:rPr>
        <w:t xml:space="preserve"> معقول نیست</w:t>
      </w:r>
      <w:r w:rsidR="004233F5">
        <w:rPr>
          <w:rFonts w:hint="cs"/>
          <w:rtl/>
          <w:lang w:bidi="fa-IR"/>
        </w:rPr>
        <w:t>؛</w:t>
      </w:r>
      <w:r>
        <w:rPr>
          <w:rFonts w:hint="cs"/>
          <w:rtl/>
          <w:lang w:bidi="fa-IR"/>
        </w:rPr>
        <w:t xml:space="preserve"> زیرا کار هر شخصی متعل</w:t>
      </w:r>
      <w:r w:rsidR="004233F5">
        <w:rPr>
          <w:rFonts w:hint="cs"/>
          <w:rtl/>
          <w:lang w:bidi="fa-IR"/>
        </w:rPr>
        <w:t>ّ</w:t>
      </w:r>
      <w:r>
        <w:rPr>
          <w:rFonts w:hint="cs"/>
          <w:rtl/>
          <w:lang w:bidi="fa-IR"/>
        </w:rPr>
        <w:t>ق به ارا</w:t>
      </w:r>
      <w:r w:rsidR="004233F5">
        <w:rPr>
          <w:rFonts w:hint="cs"/>
          <w:rtl/>
          <w:lang w:bidi="fa-IR"/>
        </w:rPr>
        <w:t>ده ی خود اوست نه اراده ی غیر او؛</w:t>
      </w:r>
      <w:r w:rsidR="00454E00">
        <w:rPr>
          <w:rFonts w:hint="cs"/>
          <w:rtl/>
          <w:lang w:bidi="fa-IR"/>
        </w:rPr>
        <w:t xml:space="preserve"> بله! شوق مولا به اتیان فعل از عبد</w:t>
      </w:r>
      <w:r w:rsidR="004233F5">
        <w:rPr>
          <w:rFonts w:hint="cs"/>
          <w:rtl/>
          <w:lang w:bidi="fa-IR"/>
        </w:rPr>
        <w:t>،</w:t>
      </w:r>
      <w:r w:rsidR="00454E00">
        <w:rPr>
          <w:rFonts w:hint="cs"/>
          <w:rtl/>
          <w:lang w:bidi="fa-IR"/>
        </w:rPr>
        <w:t xml:space="preserve"> قابل تصو</w:t>
      </w:r>
      <w:r w:rsidR="004233F5">
        <w:rPr>
          <w:rFonts w:hint="cs"/>
          <w:rtl/>
          <w:lang w:bidi="fa-IR"/>
        </w:rPr>
        <w:t>ّ</w:t>
      </w:r>
      <w:r w:rsidR="00454E00">
        <w:rPr>
          <w:rFonts w:hint="cs"/>
          <w:rtl/>
          <w:lang w:bidi="fa-IR"/>
        </w:rPr>
        <w:t>ر است لکن شوق</w:t>
      </w:r>
      <w:r w:rsidR="00E466C0">
        <w:rPr>
          <w:rFonts w:hint="cs"/>
          <w:rtl/>
          <w:lang w:bidi="fa-IR"/>
        </w:rPr>
        <w:t>،</w:t>
      </w:r>
      <w:r w:rsidR="00454E00">
        <w:rPr>
          <w:rFonts w:hint="cs"/>
          <w:rtl/>
          <w:lang w:bidi="fa-IR"/>
        </w:rPr>
        <w:t xml:space="preserve"> غیر از اراده است زیرا اراده عبارت است از تصمیم جد</w:t>
      </w:r>
      <w:r w:rsidR="00E466C0">
        <w:rPr>
          <w:rFonts w:hint="cs"/>
          <w:rtl/>
          <w:lang w:bidi="fa-IR"/>
        </w:rPr>
        <w:t>ّ</w:t>
      </w:r>
      <w:r w:rsidR="00454E00">
        <w:rPr>
          <w:rFonts w:hint="cs"/>
          <w:rtl/>
          <w:lang w:bidi="fa-IR"/>
        </w:rPr>
        <w:t>ی بر ایجاد فعل و این معنا در رابطه با فعل غیر</w:t>
      </w:r>
      <w:r w:rsidR="00E466C0">
        <w:rPr>
          <w:rFonts w:hint="cs"/>
          <w:rtl/>
          <w:lang w:bidi="fa-IR"/>
        </w:rPr>
        <w:t>،</w:t>
      </w:r>
      <w:r w:rsidR="00454E00">
        <w:rPr>
          <w:rFonts w:hint="cs"/>
          <w:rtl/>
          <w:lang w:bidi="fa-IR"/>
        </w:rPr>
        <w:t xml:space="preserve"> تصو</w:t>
      </w:r>
      <w:r w:rsidR="00E466C0">
        <w:rPr>
          <w:rFonts w:hint="cs"/>
          <w:rtl/>
          <w:lang w:bidi="fa-IR"/>
        </w:rPr>
        <w:t>ّ</w:t>
      </w:r>
      <w:r w:rsidR="00454E00">
        <w:rPr>
          <w:rFonts w:hint="cs"/>
          <w:rtl/>
          <w:lang w:bidi="fa-IR"/>
        </w:rPr>
        <w:t>ر ندارد.</w:t>
      </w:r>
    </w:p>
    <w:p w:rsidR="006D7F99" w:rsidRDefault="006D7F99" w:rsidP="009E6094">
      <w:pPr>
        <w:bidi/>
        <w:rPr>
          <w:rtl/>
          <w:lang w:bidi="fa-IR"/>
        </w:rPr>
      </w:pPr>
      <w:r>
        <w:rPr>
          <w:rFonts w:hint="cs"/>
          <w:rtl/>
          <w:lang w:bidi="fa-IR"/>
        </w:rPr>
        <w:t>بنابراین اراده ی بعث و زجر دارای مقد</w:t>
      </w:r>
      <w:r w:rsidR="00E466C0">
        <w:rPr>
          <w:rFonts w:hint="cs"/>
          <w:rtl/>
          <w:lang w:bidi="fa-IR"/>
        </w:rPr>
        <w:t>ّ</w:t>
      </w:r>
      <w:r>
        <w:rPr>
          <w:rFonts w:hint="cs"/>
          <w:rtl/>
          <w:lang w:bidi="fa-IR"/>
        </w:rPr>
        <w:t>ماتی است که در نفس مولا محق</w:t>
      </w:r>
      <w:r w:rsidR="00E466C0">
        <w:rPr>
          <w:rFonts w:hint="cs"/>
          <w:rtl/>
          <w:lang w:bidi="fa-IR"/>
        </w:rPr>
        <w:t>ّ</w:t>
      </w:r>
      <w:r>
        <w:rPr>
          <w:rFonts w:hint="cs"/>
          <w:rtl/>
          <w:lang w:bidi="fa-IR"/>
        </w:rPr>
        <w:t>ق می شوند.</w:t>
      </w:r>
      <w:r w:rsidR="00DF427B">
        <w:rPr>
          <w:rFonts w:hint="cs"/>
          <w:rtl/>
          <w:lang w:bidi="fa-IR"/>
        </w:rPr>
        <w:t xml:space="preserve"> یکی از آنها غرض و انگیزه و غایت برای فعل اختیاری است. چنین مقد</w:t>
      </w:r>
      <w:r w:rsidR="00E466C0">
        <w:rPr>
          <w:rFonts w:hint="cs"/>
          <w:rtl/>
          <w:lang w:bidi="fa-IR"/>
        </w:rPr>
        <w:t>ّ</w:t>
      </w:r>
      <w:r w:rsidR="00DF427B">
        <w:rPr>
          <w:rFonts w:hint="cs"/>
          <w:rtl/>
          <w:lang w:bidi="fa-IR"/>
        </w:rPr>
        <w:t xml:space="preserve">مه ای در مورد </w:t>
      </w:r>
      <w:r w:rsidR="00087FCF">
        <w:rPr>
          <w:rFonts w:hint="cs"/>
          <w:rtl/>
          <w:lang w:bidi="fa-IR"/>
        </w:rPr>
        <w:t>ا</w:t>
      </w:r>
      <w:r w:rsidR="00DF427B">
        <w:rPr>
          <w:rFonts w:hint="cs"/>
          <w:rtl/>
          <w:lang w:bidi="fa-IR"/>
        </w:rPr>
        <w:t>راده ی تشریعی نسبت به ذی المقد</w:t>
      </w:r>
      <w:r w:rsidR="00E466C0">
        <w:rPr>
          <w:rFonts w:hint="cs"/>
          <w:rtl/>
          <w:lang w:bidi="fa-IR"/>
        </w:rPr>
        <w:t>ّ</w:t>
      </w:r>
      <w:r w:rsidR="00DF427B">
        <w:rPr>
          <w:rFonts w:hint="cs"/>
          <w:rtl/>
          <w:lang w:bidi="fa-IR"/>
        </w:rPr>
        <w:t>مه</w:t>
      </w:r>
      <w:r w:rsidR="009E6094">
        <w:rPr>
          <w:rFonts w:hint="cs"/>
          <w:rtl/>
          <w:lang w:bidi="fa-IR"/>
        </w:rPr>
        <w:t>،</w:t>
      </w:r>
      <w:r w:rsidR="00DF427B">
        <w:rPr>
          <w:rFonts w:hint="cs"/>
          <w:rtl/>
          <w:lang w:bidi="fa-IR"/>
        </w:rPr>
        <w:t xml:space="preserve"> وجود دارد </w:t>
      </w:r>
      <w:r w:rsidR="009E6094">
        <w:rPr>
          <w:rFonts w:hint="cs"/>
          <w:rtl/>
          <w:lang w:bidi="fa-IR"/>
        </w:rPr>
        <w:t>زیرا غایت بعث مولا عبد را به سوی ذی المقدمه رسیدن عبد است به ذی المقدمه و اتیان آن</w:t>
      </w:r>
      <w:r w:rsidR="00DF427B">
        <w:rPr>
          <w:rFonts w:hint="cs"/>
          <w:rtl/>
          <w:lang w:bidi="fa-IR"/>
        </w:rPr>
        <w:t xml:space="preserve"> </w:t>
      </w:r>
      <w:r w:rsidR="00FF6FE7">
        <w:rPr>
          <w:rFonts w:hint="cs"/>
          <w:rtl/>
          <w:lang w:bidi="fa-IR"/>
        </w:rPr>
        <w:t>و لو احتمالی. ام</w:t>
      </w:r>
      <w:r w:rsidR="009E6094">
        <w:rPr>
          <w:rFonts w:hint="cs"/>
          <w:rtl/>
          <w:lang w:bidi="fa-IR"/>
        </w:rPr>
        <w:t>ّ</w:t>
      </w:r>
      <w:r w:rsidR="00FF6FE7">
        <w:rPr>
          <w:rFonts w:hint="cs"/>
          <w:rtl/>
          <w:lang w:bidi="fa-IR"/>
        </w:rPr>
        <w:t>ا اراده ی بعث نسبت به مقد</w:t>
      </w:r>
      <w:r w:rsidR="009E6094">
        <w:rPr>
          <w:rFonts w:hint="cs"/>
          <w:rtl/>
          <w:lang w:bidi="fa-IR"/>
        </w:rPr>
        <w:t>ّ</w:t>
      </w:r>
      <w:r w:rsidR="00FF6FE7">
        <w:rPr>
          <w:rFonts w:hint="cs"/>
          <w:rtl/>
          <w:lang w:bidi="fa-IR"/>
        </w:rPr>
        <w:t>مات</w:t>
      </w:r>
      <w:r w:rsidR="009E6094">
        <w:rPr>
          <w:rFonts w:hint="cs"/>
          <w:rtl/>
          <w:lang w:bidi="fa-IR"/>
        </w:rPr>
        <w:t>،</w:t>
      </w:r>
      <w:r w:rsidR="00FF6FE7">
        <w:rPr>
          <w:rFonts w:hint="cs"/>
          <w:rtl/>
          <w:lang w:bidi="fa-IR"/>
        </w:rPr>
        <w:t xml:space="preserve"> بی فایده است</w:t>
      </w:r>
      <w:r w:rsidR="0023736A">
        <w:rPr>
          <w:rFonts w:hint="cs"/>
          <w:rtl/>
          <w:lang w:bidi="fa-IR"/>
        </w:rPr>
        <w:t>؛</w:t>
      </w:r>
      <w:r w:rsidR="00FF6FE7">
        <w:rPr>
          <w:rFonts w:hint="cs"/>
          <w:rtl/>
          <w:lang w:bidi="fa-IR"/>
        </w:rPr>
        <w:t xml:space="preserve"> زیرا بعث به ذی المقد</w:t>
      </w:r>
      <w:r w:rsidR="00E466C0">
        <w:rPr>
          <w:rFonts w:hint="cs"/>
          <w:rtl/>
          <w:lang w:bidi="fa-IR"/>
        </w:rPr>
        <w:t>ّ</w:t>
      </w:r>
      <w:r w:rsidR="00FF6FE7">
        <w:rPr>
          <w:rFonts w:hint="cs"/>
          <w:rtl/>
          <w:lang w:bidi="fa-IR"/>
        </w:rPr>
        <w:t>مه از دو صورت خارج نیست:</w:t>
      </w:r>
    </w:p>
    <w:p w:rsidR="00FF6FE7" w:rsidRDefault="00FF6FE7" w:rsidP="001C0D4F">
      <w:pPr>
        <w:bidi/>
        <w:rPr>
          <w:rtl/>
          <w:lang w:bidi="fa-IR"/>
        </w:rPr>
      </w:pPr>
      <w:r>
        <w:rPr>
          <w:rFonts w:hint="cs"/>
          <w:rtl/>
          <w:lang w:bidi="fa-IR"/>
        </w:rPr>
        <w:t>1.در نفس مکل</w:t>
      </w:r>
      <w:r w:rsidR="009E6094">
        <w:rPr>
          <w:rFonts w:hint="cs"/>
          <w:rtl/>
          <w:lang w:bidi="fa-IR"/>
        </w:rPr>
        <w:t>ّ</w:t>
      </w:r>
      <w:r>
        <w:rPr>
          <w:rFonts w:hint="cs"/>
          <w:rtl/>
          <w:lang w:bidi="fa-IR"/>
        </w:rPr>
        <w:t>ف اثر می</w:t>
      </w:r>
      <w:r w:rsidR="00087FCF">
        <w:rPr>
          <w:rFonts w:hint="cs"/>
          <w:rtl/>
          <w:lang w:bidi="fa-IR"/>
        </w:rPr>
        <w:t xml:space="preserve"> </w:t>
      </w:r>
      <w:r>
        <w:rPr>
          <w:rFonts w:hint="cs"/>
          <w:rtl/>
          <w:lang w:bidi="fa-IR"/>
        </w:rPr>
        <w:t>گذارد و او را منبعث به ذی المقد</w:t>
      </w:r>
      <w:r w:rsidR="009E6094">
        <w:rPr>
          <w:rFonts w:hint="cs"/>
          <w:rtl/>
          <w:lang w:bidi="fa-IR"/>
        </w:rPr>
        <w:t>ّ</w:t>
      </w:r>
      <w:r>
        <w:rPr>
          <w:rFonts w:hint="cs"/>
          <w:rtl/>
          <w:lang w:bidi="fa-IR"/>
        </w:rPr>
        <w:t>مه می کند</w:t>
      </w:r>
      <w:r w:rsidR="009E6094">
        <w:rPr>
          <w:rFonts w:hint="cs"/>
          <w:rtl/>
          <w:lang w:bidi="fa-IR"/>
        </w:rPr>
        <w:t>؛</w:t>
      </w:r>
      <w:r w:rsidR="00087FCF">
        <w:rPr>
          <w:rFonts w:hint="cs"/>
          <w:rtl/>
          <w:lang w:bidi="fa-IR"/>
        </w:rPr>
        <w:t xml:space="preserve"> از طرفی مکل</w:t>
      </w:r>
      <w:r w:rsidR="009E6094">
        <w:rPr>
          <w:rFonts w:hint="cs"/>
          <w:rtl/>
          <w:lang w:bidi="fa-IR"/>
        </w:rPr>
        <w:t>ّ</w:t>
      </w:r>
      <w:r w:rsidR="00087FCF">
        <w:rPr>
          <w:rFonts w:hint="cs"/>
          <w:rtl/>
          <w:lang w:bidi="fa-IR"/>
        </w:rPr>
        <w:t>ف</w:t>
      </w:r>
      <w:r>
        <w:rPr>
          <w:rFonts w:hint="cs"/>
          <w:rtl/>
          <w:lang w:bidi="fa-IR"/>
        </w:rPr>
        <w:t xml:space="preserve"> می داند این ذی المقد</w:t>
      </w:r>
      <w:r w:rsidR="009E6094">
        <w:rPr>
          <w:rFonts w:hint="cs"/>
          <w:rtl/>
          <w:lang w:bidi="fa-IR"/>
        </w:rPr>
        <w:t>ّ</w:t>
      </w:r>
      <w:r>
        <w:rPr>
          <w:rFonts w:hint="cs"/>
          <w:rtl/>
          <w:lang w:bidi="fa-IR"/>
        </w:rPr>
        <w:t>مه</w:t>
      </w:r>
      <w:r w:rsidR="009E6094">
        <w:rPr>
          <w:rFonts w:hint="cs"/>
          <w:rtl/>
          <w:lang w:bidi="fa-IR"/>
        </w:rPr>
        <w:t>،</w:t>
      </w:r>
      <w:r>
        <w:rPr>
          <w:rFonts w:hint="cs"/>
          <w:rtl/>
          <w:lang w:bidi="fa-IR"/>
        </w:rPr>
        <w:t xml:space="preserve"> مقد</w:t>
      </w:r>
      <w:r w:rsidR="009E6094">
        <w:rPr>
          <w:rFonts w:hint="cs"/>
          <w:rtl/>
          <w:lang w:bidi="fa-IR"/>
        </w:rPr>
        <w:t>ّ</w:t>
      </w:r>
      <w:r>
        <w:rPr>
          <w:rFonts w:hint="cs"/>
          <w:rtl/>
          <w:lang w:bidi="fa-IR"/>
        </w:rPr>
        <w:t xml:space="preserve">ماتی دارد </w:t>
      </w:r>
      <w:r w:rsidR="009E6094">
        <w:rPr>
          <w:rFonts w:hint="cs"/>
          <w:rtl/>
          <w:lang w:bidi="fa-IR"/>
        </w:rPr>
        <w:t>و</w:t>
      </w:r>
      <w:r>
        <w:rPr>
          <w:rFonts w:hint="cs"/>
          <w:rtl/>
          <w:lang w:bidi="fa-IR"/>
        </w:rPr>
        <w:t xml:space="preserve"> عقل </w:t>
      </w:r>
      <w:r w:rsidR="009E6094">
        <w:rPr>
          <w:rFonts w:hint="cs"/>
          <w:rtl/>
          <w:lang w:bidi="fa-IR"/>
        </w:rPr>
        <w:t>حکم می کند</w:t>
      </w:r>
      <w:r w:rsidR="001C0D4F">
        <w:rPr>
          <w:lang w:bidi="fa-IR"/>
        </w:rPr>
        <w:t xml:space="preserve"> </w:t>
      </w:r>
      <w:r w:rsidR="001C0D4F">
        <w:rPr>
          <w:rFonts w:hint="cs"/>
          <w:rtl/>
          <w:lang w:bidi="fa-IR"/>
        </w:rPr>
        <w:t xml:space="preserve"> که</w:t>
      </w:r>
      <w:r w:rsidR="009E6094">
        <w:rPr>
          <w:rFonts w:hint="cs"/>
          <w:rtl/>
          <w:lang w:bidi="fa-IR"/>
        </w:rPr>
        <w:t xml:space="preserve"> برای</w:t>
      </w:r>
      <w:r>
        <w:rPr>
          <w:rFonts w:hint="cs"/>
          <w:rtl/>
          <w:lang w:bidi="fa-IR"/>
        </w:rPr>
        <w:t xml:space="preserve"> اتیان </w:t>
      </w:r>
      <w:r w:rsidR="009E6094">
        <w:rPr>
          <w:rFonts w:hint="cs"/>
          <w:rtl/>
          <w:lang w:bidi="fa-IR"/>
        </w:rPr>
        <w:t>ذی المقد</w:t>
      </w:r>
      <w:r w:rsidR="0023736A">
        <w:rPr>
          <w:rFonts w:hint="cs"/>
          <w:rtl/>
          <w:lang w:bidi="fa-IR"/>
        </w:rPr>
        <w:t>ّ</w:t>
      </w:r>
      <w:r w:rsidR="009E6094">
        <w:rPr>
          <w:rFonts w:hint="cs"/>
          <w:rtl/>
          <w:lang w:bidi="fa-IR"/>
        </w:rPr>
        <w:t>مه باید این مقدمات را انجام دهی</w:t>
      </w:r>
      <w:r w:rsidR="0023736A">
        <w:rPr>
          <w:rFonts w:hint="cs"/>
          <w:rtl/>
          <w:lang w:bidi="fa-IR"/>
        </w:rPr>
        <w:t>؛</w:t>
      </w:r>
      <w:r w:rsidR="009E6094">
        <w:rPr>
          <w:rFonts w:hint="cs"/>
          <w:rtl/>
          <w:lang w:bidi="fa-IR"/>
        </w:rPr>
        <w:t xml:space="preserve"> در اینصورت بعث به ذی المقد</w:t>
      </w:r>
      <w:r w:rsidR="0023736A">
        <w:rPr>
          <w:rFonts w:hint="cs"/>
          <w:rtl/>
          <w:lang w:bidi="fa-IR"/>
        </w:rPr>
        <w:t>ّ</w:t>
      </w:r>
      <w:r w:rsidR="009E6094">
        <w:rPr>
          <w:rFonts w:hint="cs"/>
          <w:rtl/>
          <w:lang w:bidi="fa-IR"/>
        </w:rPr>
        <w:t>مه</w:t>
      </w:r>
      <w:r w:rsidR="001C0D4F">
        <w:rPr>
          <w:rFonts w:hint="cs"/>
          <w:rtl/>
          <w:lang w:bidi="fa-IR"/>
        </w:rPr>
        <w:t>،</w:t>
      </w:r>
      <w:r w:rsidR="009E6094">
        <w:rPr>
          <w:rFonts w:hint="cs"/>
          <w:rtl/>
          <w:lang w:bidi="fa-IR"/>
        </w:rPr>
        <w:t xml:space="preserve"> یک انبعاث ایجاد نموده</w:t>
      </w:r>
      <w:r w:rsidR="0023736A">
        <w:rPr>
          <w:rFonts w:hint="cs"/>
          <w:rtl/>
          <w:lang w:bidi="fa-IR"/>
        </w:rPr>
        <w:t xml:space="preserve"> است</w:t>
      </w:r>
      <w:r w:rsidR="009E6094">
        <w:rPr>
          <w:rFonts w:hint="cs"/>
          <w:rtl/>
          <w:lang w:bidi="fa-IR"/>
        </w:rPr>
        <w:t xml:space="preserve"> و اگر بخواهد بعث دو</w:t>
      </w:r>
      <w:r w:rsidR="0023736A">
        <w:rPr>
          <w:rFonts w:hint="cs"/>
          <w:rtl/>
          <w:lang w:bidi="fa-IR"/>
        </w:rPr>
        <w:t>ّ</w:t>
      </w:r>
      <w:r w:rsidR="009E6094">
        <w:rPr>
          <w:rFonts w:hint="cs"/>
          <w:rtl/>
          <w:lang w:bidi="fa-IR"/>
        </w:rPr>
        <w:t>می ایجاد کند بطوریکه مانند او</w:t>
      </w:r>
      <w:r w:rsidR="0023736A">
        <w:rPr>
          <w:rFonts w:hint="cs"/>
          <w:rtl/>
          <w:lang w:bidi="fa-IR"/>
        </w:rPr>
        <w:t>ّ</w:t>
      </w:r>
      <w:r w:rsidR="009E6094">
        <w:rPr>
          <w:rFonts w:hint="cs"/>
          <w:rtl/>
          <w:lang w:bidi="fa-IR"/>
        </w:rPr>
        <w:t>لی مولوی باشد،</w:t>
      </w:r>
      <w:r>
        <w:rPr>
          <w:rFonts w:hint="cs"/>
          <w:rtl/>
          <w:lang w:bidi="fa-IR"/>
        </w:rPr>
        <w:t xml:space="preserve"> لازمه اش انبعاث </w:t>
      </w:r>
      <w:r w:rsidR="00D74908">
        <w:rPr>
          <w:rFonts w:hint="cs"/>
          <w:rtl/>
          <w:lang w:bidi="fa-IR"/>
        </w:rPr>
        <w:t>بعد الانبعاث است که لغو می باشد زیرا تحصیل حاصل است. البته بعث دو</w:t>
      </w:r>
      <w:r w:rsidR="009E6094">
        <w:rPr>
          <w:rFonts w:hint="cs"/>
          <w:rtl/>
          <w:lang w:bidi="fa-IR"/>
        </w:rPr>
        <w:t>ّ</w:t>
      </w:r>
      <w:r w:rsidR="00D74908">
        <w:rPr>
          <w:rFonts w:hint="cs"/>
          <w:rtl/>
          <w:lang w:bidi="fa-IR"/>
        </w:rPr>
        <w:t>م می تواند ارشادی باشد.</w:t>
      </w:r>
    </w:p>
    <w:p w:rsidR="009F01B0" w:rsidRDefault="009F01B0" w:rsidP="0023736A">
      <w:pPr>
        <w:bidi/>
        <w:rPr>
          <w:rtl/>
          <w:lang w:bidi="fa-IR"/>
        </w:rPr>
      </w:pPr>
      <w:r>
        <w:rPr>
          <w:rFonts w:hint="cs"/>
          <w:rtl/>
          <w:lang w:bidi="fa-IR"/>
        </w:rPr>
        <w:lastRenderedPageBreak/>
        <w:t>2.</w:t>
      </w:r>
      <w:r w:rsidR="00087FCF">
        <w:rPr>
          <w:rFonts w:hint="cs"/>
          <w:rtl/>
          <w:lang w:bidi="fa-IR"/>
        </w:rPr>
        <w:t>تولید انبعا</w:t>
      </w:r>
      <w:r w:rsidR="00823FCF">
        <w:rPr>
          <w:rFonts w:hint="cs"/>
          <w:rtl/>
          <w:lang w:bidi="fa-IR"/>
        </w:rPr>
        <w:t>ث در نفس مکل</w:t>
      </w:r>
      <w:r w:rsidR="009E6094">
        <w:rPr>
          <w:rFonts w:hint="cs"/>
          <w:rtl/>
          <w:lang w:bidi="fa-IR"/>
        </w:rPr>
        <w:t>ّ</w:t>
      </w:r>
      <w:r w:rsidR="00823FCF">
        <w:rPr>
          <w:rFonts w:hint="cs"/>
          <w:rtl/>
          <w:lang w:bidi="fa-IR"/>
        </w:rPr>
        <w:t>ف نمی کند؛ در اینصورت امر غیری به مقد</w:t>
      </w:r>
      <w:r w:rsidR="009E6094">
        <w:rPr>
          <w:rFonts w:hint="cs"/>
          <w:rtl/>
          <w:lang w:bidi="fa-IR"/>
        </w:rPr>
        <w:t>ّ</w:t>
      </w:r>
      <w:r w:rsidR="00823FCF">
        <w:rPr>
          <w:rFonts w:hint="cs"/>
          <w:rtl/>
          <w:lang w:bidi="fa-IR"/>
        </w:rPr>
        <w:t>مات</w:t>
      </w:r>
      <w:r w:rsidR="00D97A3D">
        <w:rPr>
          <w:rFonts w:hint="cs"/>
          <w:rtl/>
          <w:lang w:bidi="fa-IR"/>
        </w:rPr>
        <w:t>،</w:t>
      </w:r>
      <w:r w:rsidR="00823FCF" w:rsidRPr="00823FCF">
        <w:rPr>
          <w:rFonts w:hint="cs"/>
          <w:rtl/>
          <w:lang w:bidi="fa-IR"/>
        </w:rPr>
        <w:t xml:space="preserve"> </w:t>
      </w:r>
      <w:r w:rsidR="00823FCF">
        <w:rPr>
          <w:rFonts w:hint="cs"/>
          <w:rtl/>
          <w:lang w:bidi="fa-IR"/>
        </w:rPr>
        <w:t>تصو</w:t>
      </w:r>
      <w:r w:rsidR="009E6094">
        <w:rPr>
          <w:rFonts w:hint="cs"/>
          <w:rtl/>
          <w:lang w:bidi="fa-IR"/>
        </w:rPr>
        <w:t>ّ</w:t>
      </w:r>
      <w:r w:rsidR="00823FCF">
        <w:rPr>
          <w:rFonts w:hint="cs"/>
          <w:rtl/>
          <w:lang w:bidi="fa-IR"/>
        </w:rPr>
        <w:t>ر ندارد</w:t>
      </w:r>
      <w:r w:rsidR="00D97A3D">
        <w:rPr>
          <w:rFonts w:hint="cs"/>
          <w:rtl/>
          <w:lang w:bidi="fa-IR"/>
        </w:rPr>
        <w:t>؛</w:t>
      </w:r>
      <w:r w:rsidR="00823FCF">
        <w:rPr>
          <w:rFonts w:hint="cs"/>
          <w:rtl/>
          <w:lang w:bidi="fa-IR"/>
        </w:rPr>
        <w:t xml:space="preserve"> زیرا بعث به مقد</w:t>
      </w:r>
      <w:r w:rsidR="009E6094">
        <w:rPr>
          <w:rFonts w:hint="cs"/>
          <w:rtl/>
          <w:lang w:bidi="fa-IR"/>
        </w:rPr>
        <w:t>ّ</w:t>
      </w:r>
      <w:r w:rsidR="00823FCF">
        <w:rPr>
          <w:rFonts w:hint="cs"/>
          <w:rtl/>
          <w:lang w:bidi="fa-IR"/>
        </w:rPr>
        <w:t>مات</w:t>
      </w:r>
      <w:r w:rsidR="00D97A3D">
        <w:rPr>
          <w:rFonts w:hint="cs"/>
          <w:rtl/>
          <w:lang w:bidi="fa-IR"/>
        </w:rPr>
        <w:t>،</w:t>
      </w:r>
      <w:r w:rsidR="00823FCF">
        <w:rPr>
          <w:rFonts w:hint="cs"/>
          <w:rtl/>
          <w:lang w:bidi="fa-IR"/>
        </w:rPr>
        <w:t xml:space="preserve"> برای اتیان ذی المقد</w:t>
      </w:r>
      <w:r w:rsidR="009E6094">
        <w:rPr>
          <w:rFonts w:hint="cs"/>
          <w:rtl/>
          <w:lang w:bidi="fa-IR"/>
        </w:rPr>
        <w:t>ّ</w:t>
      </w:r>
      <w:r w:rsidR="00823FCF">
        <w:rPr>
          <w:rFonts w:hint="cs"/>
          <w:rtl/>
          <w:lang w:bidi="fa-IR"/>
        </w:rPr>
        <w:t xml:space="preserve">مه است </w:t>
      </w:r>
      <w:r w:rsidR="0023736A">
        <w:rPr>
          <w:rFonts w:hint="cs"/>
          <w:rtl/>
          <w:lang w:bidi="fa-IR"/>
        </w:rPr>
        <w:t>و فرض این است که</w:t>
      </w:r>
      <w:r w:rsidR="00823FCF">
        <w:rPr>
          <w:rFonts w:hint="cs"/>
          <w:rtl/>
          <w:lang w:bidi="fa-IR"/>
        </w:rPr>
        <w:t xml:space="preserve"> مکل</w:t>
      </w:r>
      <w:r w:rsidR="009E6094">
        <w:rPr>
          <w:rFonts w:hint="cs"/>
          <w:rtl/>
          <w:lang w:bidi="fa-IR"/>
        </w:rPr>
        <w:t>ّ</w:t>
      </w:r>
      <w:r w:rsidR="00823FCF">
        <w:rPr>
          <w:rFonts w:hint="cs"/>
          <w:rtl/>
          <w:lang w:bidi="fa-IR"/>
        </w:rPr>
        <w:t>ف تارک ذی المقد</w:t>
      </w:r>
      <w:r w:rsidR="009E6094">
        <w:rPr>
          <w:rFonts w:hint="cs"/>
          <w:rtl/>
          <w:lang w:bidi="fa-IR"/>
        </w:rPr>
        <w:t>ّ</w:t>
      </w:r>
      <w:r w:rsidR="00823FCF">
        <w:rPr>
          <w:rFonts w:hint="cs"/>
          <w:rtl/>
          <w:lang w:bidi="fa-IR"/>
        </w:rPr>
        <w:t>مه است زیرا منبعث نشده است.</w:t>
      </w:r>
      <w:r w:rsidR="00B65E79">
        <w:rPr>
          <w:rStyle w:val="FootnoteReference"/>
          <w:rtl/>
          <w:lang w:bidi="fa-IR"/>
        </w:rPr>
        <w:footnoteReference w:id="1"/>
      </w:r>
    </w:p>
    <w:p w:rsidR="008F7107" w:rsidRPr="0023736A" w:rsidRDefault="008F7107" w:rsidP="008F7107">
      <w:pPr>
        <w:bidi/>
        <w:rPr>
          <w:rtl/>
          <w:lang w:bidi="fa-IR"/>
        </w:rPr>
      </w:pPr>
      <w:r w:rsidRPr="0023736A">
        <w:rPr>
          <w:rFonts w:hint="cs"/>
          <w:rtl/>
          <w:lang w:bidi="fa-IR"/>
        </w:rPr>
        <w:t>شهید صدر</w:t>
      </w:r>
      <w:r w:rsidR="0023736A" w:rsidRPr="0023736A">
        <w:rPr>
          <w:rFonts w:hint="cs"/>
          <w:rtl/>
          <w:lang w:bidi="fa-IR"/>
        </w:rPr>
        <w:t xml:space="preserve"> در بحوث می فرماید:</w:t>
      </w:r>
    </w:p>
    <w:p w:rsidR="00A53458" w:rsidRDefault="008F7107" w:rsidP="0023736A">
      <w:pPr>
        <w:bidi/>
        <w:rPr>
          <w:rtl/>
          <w:lang w:bidi="fa-IR"/>
        </w:rPr>
      </w:pPr>
      <w:r>
        <w:rPr>
          <w:rFonts w:hint="cs"/>
          <w:rtl/>
          <w:lang w:bidi="fa-IR"/>
        </w:rPr>
        <w:t xml:space="preserve">هر حکمی سه مرحله دارد: </w:t>
      </w:r>
      <w:r w:rsidR="00C764B4">
        <w:rPr>
          <w:rFonts w:hint="cs"/>
          <w:rtl/>
          <w:lang w:bidi="fa-IR"/>
        </w:rPr>
        <w:t>«</w:t>
      </w:r>
      <w:r>
        <w:rPr>
          <w:rFonts w:hint="cs"/>
          <w:rtl/>
          <w:lang w:bidi="fa-IR"/>
        </w:rPr>
        <w:t>ملاک</w:t>
      </w:r>
      <w:r w:rsidR="00C764B4">
        <w:rPr>
          <w:rFonts w:hint="cs"/>
          <w:rtl/>
          <w:lang w:bidi="fa-IR"/>
        </w:rPr>
        <w:t xml:space="preserve">»، «حبّ و </w:t>
      </w:r>
      <w:r>
        <w:rPr>
          <w:rFonts w:hint="cs"/>
          <w:rtl/>
          <w:lang w:bidi="fa-IR"/>
        </w:rPr>
        <w:t>اراده</w:t>
      </w:r>
      <w:r w:rsidR="00C764B4">
        <w:rPr>
          <w:rFonts w:hint="cs"/>
          <w:rtl/>
          <w:lang w:bidi="fa-IR"/>
        </w:rPr>
        <w:t>» و «</w:t>
      </w:r>
      <w:r>
        <w:rPr>
          <w:rFonts w:hint="cs"/>
          <w:rtl/>
          <w:lang w:bidi="fa-IR"/>
        </w:rPr>
        <w:t>جعل</w:t>
      </w:r>
      <w:r w:rsidR="00C764B4">
        <w:rPr>
          <w:rFonts w:hint="cs"/>
          <w:rtl/>
          <w:lang w:bidi="fa-IR"/>
        </w:rPr>
        <w:t>».</w:t>
      </w:r>
      <w:r w:rsidR="0023736A">
        <w:rPr>
          <w:rFonts w:hint="cs"/>
          <w:rtl/>
          <w:lang w:bidi="fa-IR"/>
        </w:rPr>
        <w:t xml:space="preserve"> </w:t>
      </w:r>
      <w:r w:rsidR="00A53458">
        <w:rPr>
          <w:rFonts w:hint="cs"/>
          <w:rtl/>
          <w:lang w:bidi="fa-IR"/>
        </w:rPr>
        <w:t>اما در مرحله ی او</w:t>
      </w:r>
      <w:r w:rsidR="00C764B4">
        <w:rPr>
          <w:rFonts w:hint="cs"/>
          <w:rtl/>
          <w:lang w:bidi="fa-IR"/>
        </w:rPr>
        <w:t>ّ</w:t>
      </w:r>
      <w:r w:rsidR="00A53458">
        <w:rPr>
          <w:rFonts w:hint="cs"/>
          <w:rtl/>
          <w:lang w:bidi="fa-IR"/>
        </w:rPr>
        <w:t>ل</w:t>
      </w:r>
      <w:r w:rsidR="00C764B4">
        <w:rPr>
          <w:rFonts w:hint="cs"/>
          <w:rtl/>
          <w:lang w:bidi="fa-IR"/>
        </w:rPr>
        <w:t>،</w:t>
      </w:r>
      <w:r w:rsidR="00A53458">
        <w:rPr>
          <w:rFonts w:hint="cs"/>
          <w:rtl/>
          <w:lang w:bidi="fa-IR"/>
        </w:rPr>
        <w:t xml:space="preserve"> </w:t>
      </w:r>
      <w:r w:rsidR="00C764B4">
        <w:rPr>
          <w:rFonts w:hint="cs"/>
          <w:rtl/>
          <w:lang w:bidi="fa-IR"/>
        </w:rPr>
        <w:t xml:space="preserve">ملازمه </w:t>
      </w:r>
      <w:r w:rsidR="00A53458">
        <w:rPr>
          <w:rFonts w:hint="cs"/>
          <w:rtl/>
          <w:lang w:bidi="fa-IR"/>
        </w:rPr>
        <w:t>تصو</w:t>
      </w:r>
      <w:r w:rsidR="00C764B4">
        <w:rPr>
          <w:rFonts w:hint="cs"/>
          <w:rtl/>
          <w:lang w:bidi="fa-IR"/>
        </w:rPr>
        <w:t>ّ</w:t>
      </w:r>
      <w:r w:rsidR="00A53458">
        <w:rPr>
          <w:rFonts w:hint="cs"/>
          <w:rtl/>
          <w:lang w:bidi="fa-IR"/>
        </w:rPr>
        <w:t>ر ندارد</w:t>
      </w:r>
      <w:r w:rsidR="00C764B4">
        <w:rPr>
          <w:rFonts w:hint="cs"/>
          <w:rtl/>
          <w:lang w:bidi="fa-IR"/>
        </w:rPr>
        <w:t>؛</w:t>
      </w:r>
      <w:r w:rsidR="00A53458">
        <w:rPr>
          <w:rFonts w:hint="cs"/>
          <w:rtl/>
          <w:lang w:bidi="fa-IR"/>
        </w:rPr>
        <w:t xml:space="preserve"> زیرا اگر فرض کنیم وجود ملاک در ذی المقد</w:t>
      </w:r>
      <w:r w:rsidR="00C764B4">
        <w:rPr>
          <w:rFonts w:hint="cs"/>
          <w:rtl/>
          <w:lang w:bidi="fa-IR"/>
        </w:rPr>
        <w:t>ّ</w:t>
      </w:r>
      <w:r w:rsidR="00A53458">
        <w:rPr>
          <w:rFonts w:hint="cs"/>
          <w:rtl/>
          <w:lang w:bidi="fa-IR"/>
        </w:rPr>
        <w:t>مه</w:t>
      </w:r>
      <w:r w:rsidR="00C764B4">
        <w:rPr>
          <w:rFonts w:hint="cs"/>
          <w:rtl/>
          <w:lang w:bidi="fa-IR"/>
        </w:rPr>
        <w:t>،</w:t>
      </w:r>
      <w:r w:rsidR="00A53458">
        <w:rPr>
          <w:rFonts w:hint="cs"/>
          <w:rtl/>
          <w:lang w:bidi="fa-IR"/>
        </w:rPr>
        <w:t xml:space="preserve"> مستلزم وجود همان ملاک در مقد</w:t>
      </w:r>
      <w:r w:rsidR="00C764B4">
        <w:rPr>
          <w:rFonts w:hint="cs"/>
          <w:rtl/>
          <w:lang w:bidi="fa-IR"/>
        </w:rPr>
        <w:t>ّ</w:t>
      </w:r>
      <w:r w:rsidR="00A53458">
        <w:rPr>
          <w:rFonts w:hint="cs"/>
          <w:rtl/>
          <w:lang w:bidi="fa-IR"/>
        </w:rPr>
        <w:t>ماتش می باشد</w:t>
      </w:r>
      <w:r w:rsidR="00C764B4">
        <w:rPr>
          <w:rFonts w:hint="cs"/>
          <w:rtl/>
          <w:lang w:bidi="fa-IR"/>
        </w:rPr>
        <w:t>،</w:t>
      </w:r>
      <w:r w:rsidR="00A53458">
        <w:rPr>
          <w:rFonts w:hint="cs"/>
          <w:rtl/>
          <w:lang w:bidi="fa-IR"/>
        </w:rPr>
        <w:t xml:space="preserve"> مستلزم خلف و انقلاب واجب غیری به واجب نفسی است.</w:t>
      </w:r>
      <w:r w:rsidR="0029006C">
        <w:rPr>
          <w:rStyle w:val="FootnoteReference"/>
          <w:rtl/>
          <w:lang w:bidi="fa-IR"/>
        </w:rPr>
        <w:footnoteReference w:id="2"/>
      </w:r>
    </w:p>
    <w:p w:rsidR="00D97A3D" w:rsidRPr="00D97A3D" w:rsidRDefault="00D97A3D" w:rsidP="00D97A3D">
      <w:pPr>
        <w:bidi/>
        <w:rPr>
          <w:color w:val="FF0000"/>
          <w:rtl/>
          <w:lang w:bidi="fa-IR"/>
        </w:rPr>
      </w:pPr>
      <w:r w:rsidRPr="00D97A3D">
        <w:rPr>
          <w:rFonts w:hint="cs"/>
          <w:color w:val="FF0000"/>
          <w:rtl/>
          <w:lang w:bidi="fa-IR"/>
        </w:rPr>
        <w:t>(پایان)</w:t>
      </w:r>
    </w:p>
    <w:p w:rsidR="00A53458" w:rsidRDefault="00A53458" w:rsidP="00A53458">
      <w:pPr>
        <w:bidi/>
        <w:rPr>
          <w:lang w:bidi="fa-IR"/>
        </w:rPr>
      </w:pPr>
      <w:bookmarkStart w:id="0" w:name="_GoBack"/>
      <w:bookmarkEnd w:id="0"/>
    </w:p>
    <w:sectPr w:rsidR="00A53458" w:rsidSect="00CC50A2">
      <w:pgSz w:w="12240" w:h="15840"/>
      <w:pgMar w:top="1440" w:right="1440" w:bottom="1440" w:left="1440" w:header="720" w:footer="720" w:gutter="0"/>
      <w:pgBorders w:offsetFrom="page">
        <w:top w:val="dashDotStroked" w:sz="24" w:space="24" w:color="auto"/>
        <w:left w:val="dashDotStroked" w:sz="24" w:space="24" w:color="auto"/>
        <w:bottom w:val="dashDotStroked" w:sz="24" w:space="24" w:color="auto"/>
        <w:right w:val="dashDotStroked" w:sz="24"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F5144" w:rsidRDefault="00DF5144" w:rsidP="00804BE9">
      <w:r>
        <w:separator/>
      </w:r>
    </w:p>
  </w:endnote>
  <w:endnote w:type="continuationSeparator" w:id="0">
    <w:p w:rsidR="00DF5144" w:rsidRDefault="00DF5144" w:rsidP="00804B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Noor_Badr">
    <w:panose1 w:val="02000400000000000000"/>
    <w:charset w:val="00"/>
    <w:family w:val="auto"/>
    <w:pitch w:val="variable"/>
    <w:sig w:usb0="80002007" w:usb1="80002000" w:usb2="00000008" w:usb3="00000000" w:csb0="00000043"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F5144" w:rsidRDefault="00DF5144" w:rsidP="00804BE9">
      <w:r>
        <w:separator/>
      </w:r>
    </w:p>
  </w:footnote>
  <w:footnote w:type="continuationSeparator" w:id="0">
    <w:p w:rsidR="00DF5144" w:rsidRDefault="00DF5144" w:rsidP="00804BE9">
      <w:r>
        <w:continuationSeparator/>
      </w:r>
    </w:p>
  </w:footnote>
  <w:footnote w:id="1">
    <w:p w:rsidR="00B65E79" w:rsidRPr="0029006C" w:rsidRDefault="00B65E79" w:rsidP="0029006C">
      <w:pPr>
        <w:pStyle w:val="NormalWeb"/>
        <w:bidi/>
        <w:jc w:val="both"/>
        <w:rPr>
          <w:rFonts w:ascii="Noor_Badr" w:hAnsi="Noor_Badr" w:cs="Noor_Badr"/>
          <w:lang w:bidi="fa-IR"/>
        </w:rPr>
      </w:pPr>
      <w:r w:rsidRPr="0029006C">
        <w:rPr>
          <w:rStyle w:val="FootnoteReference"/>
          <w:rFonts w:ascii="Noor_Badr" w:hAnsi="Noor_Badr" w:cs="Noor_Badr"/>
        </w:rPr>
        <w:footnoteRef/>
      </w:r>
      <w:r w:rsidRPr="0029006C">
        <w:rPr>
          <w:rFonts w:ascii="Noor_Badr" w:hAnsi="Noor_Badr" w:cs="Noor_Badr"/>
          <w:rtl/>
        </w:rPr>
        <w:t xml:space="preserve"> </w:t>
      </w:r>
      <w:r w:rsidRPr="0029006C">
        <w:rPr>
          <w:rFonts w:ascii="Noor_Badr" w:hAnsi="Noor_Badr" w:cs="Noor_Badr"/>
          <w:rtl/>
          <w:lang w:bidi="fa-IR"/>
        </w:rPr>
        <w:t xml:space="preserve">. </w:t>
      </w:r>
      <w:r w:rsidRPr="0029006C">
        <w:rPr>
          <w:rFonts w:ascii="Noor_Badr" w:hAnsi="Noor_Badr" w:cs="Noor_Badr"/>
          <w:color w:val="000000"/>
          <w:rtl/>
          <w:lang w:bidi="fa-IR"/>
        </w:rPr>
        <w:t>و أمّا الإرادة التشريعيّة، فليست إلاّ إرادة البعث إلى الشي‏ء، و أمّا إرادة نفس عمل الغير فغير معقولة، لأنّ عمل كلّ أحد متعلق إرادة نفسه لا غيره. نعم يمكن اشتياق صدور عمل من الغير، لكن قد عرفت مرارا أنّ الاشتياق غير الإرادة التي هي تصميم العزم على الإيجاد، و هذا ممّا لا يتصوّر تعلقه بفعل الغير.</w:t>
      </w:r>
      <w:r w:rsidRPr="0029006C">
        <w:rPr>
          <w:rFonts w:ascii="Noor_Badr" w:hAnsi="Noor_Badr" w:cs="Noor_Badr"/>
          <w:rtl/>
          <w:lang w:bidi="fa-IR"/>
        </w:rPr>
        <w:t xml:space="preserve"> </w:t>
      </w:r>
      <w:r w:rsidRPr="0029006C">
        <w:rPr>
          <w:rFonts w:ascii="Noor_Badr" w:hAnsi="Noor_Badr" w:cs="Noor_Badr"/>
          <w:color w:val="000000"/>
          <w:rtl/>
          <w:lang w:bidi="fa-IR"/>
        </w:rPr>
        <w:t>فإرادة البعث لا بدّ لها من مباد موجودة في نفس المولى، [و هي‏] بالنسبة إلى ذي المقدّمة موجودة، لأنّ غاية البعث هو التوصّل إلى المبعوث إليه و لو إمكانا و هو حاصل.</w:t>
      </w:r>
      <w:r w:rsidRPr="0029006C">
        <w:rPr>
          <w:rFonts w:ascii="Noor_Badr" w:hAnsi="Noor_Badr" w:cs="Noor_Badr"/>
          <w:rtl/>
          <w:lang w:bidi="fa-IR"/>
        </w:rPr>
        <w:t xml:space="preserve"> </w:t>
      </w:r>
      <w:r w:rsidRPr="0029006C">
        <w:rPr>
          <w:rFonts w:ascii="Noor_Badr" w:hAnsi="Noor_Badr" w:cs="Noor_Badr"/>
          <w:color w:val="000000"/>
          <w:rtl/>
          <w:lang w:bidi="fa-IR"/>
        </w:rPr>
        <w:t>و أمّا إرادة البعث إلى المقدّمات فممّا لا فائدة لها و لا غاية، لأنّ البعث إلى ذي المقدّمة إن كان مؤثّرا في نفس العبد، فلا يمكن انبعاث فوق الانبعاث، و إلاّ فلا يمكن أن يكون البعث الغيري موجبا لانبعاثه مع كونه لنفس التوصل إلى ذي المقدّمة، و مع عدم ترتب أثر عليه من الثواب و العقاب، فحينئذ تكون إرادة البعث من دون تماميّة المبادئ من قبيل وجود المعلول بلا علّة تامّة. نعم، يمكن تعلقها بها إرشادا، أو لتأكيد ذي المقدّمة كناية.</w:t>
      </w:r>
      <w:r w:rsidRPr="0029006C">
        <w:rPr>
          <w:rFonts w:ascii="Noor_Badr" w:hAnsi="Noor_Badr" w:cs="Noor_Badr"/>
          <w:rtl/>
          <w:lang w:bidi="fa-IR"/>
        </w:rPr>
        <w:t xml:space="preserve"> </w:t>
      </w:r>
      <w:r w:rsidRPr="0029006C">
        <w:rPr>
          <w:rFonts w:ascii="Noor_Badr" w:hAnsi="Noor_Badr" w:cs="Noor_Badr"/>
          <w:color w:val="000000"/>
          <w:rtl/>
          <w:lang w:bidi="fa-IR"/>
        </w:rPr>
        <w:t>هذا، مع أنّ الضرورة قاضية بعدم إرادة البعث نحو المقدّمات، لعدم تحقق البعث في غالب الموارد، فيلزم تفكيك الإرادة عن معلولها، فإرادة البعث غير حاصلة.</w:t>
      </w:r>
      <w:r w:rsidRPr="0029006C">
        <w:rPr>
          <w:rFonts w:ascii="Noor_Badr" w:hAnsi="Noor_Badr" w:cs="Noor_Badr"/>
          <w:rtl/>
          <w:lang w:bidi="fa-IR"/>
        </w:rPr>
        <w:t xml:space="preserve"> </w:t>
      </w:r>
      <w:r w:rsidRPr="0029006C">
        <w:rPr>
          <w:rFonts w:ascii="Noor_Badr" w:hAnsi="Noor_Badr" w:cs="Noor_Badr"/>
          <w:color w:val="000000"/>
          <w:rtl/>
          <w:lang w:bidi="fa-IR"/>
        </w:rPr>
        <w:t>و التأمّل الصادق فيما ذكرنا يوجب التصديق به، و المظنون أنّ كلّ ما صدر عن الأعاظم‏ من دعوى الوجدان و البرهان نشأ من قياس الإرادة التشريعيّة بالإرادة الفاعليّة، كما تقدّم التصريح به من بعضهم‏. (</w:t>
      </w:r>
      <w:r w:rsidRPr="0029006C">
        <w:rPr>
          <w:rFonts w:ascii="Noor_Badr" w:hAnsi="Noor_Badr" w:cs="Noor_Badr"/>
          <w:color w:val="2A415C"/>
          <w:rtl/>
          <w:lang w:bidi="fa-IR"/>
        </w:rPr>
        <w:t>مناهج الوصول إلى علم الأصول، ج‏1، ص: 413)</w:t>
      </w:r>
    </w:p>
  </w:footnote>
  <w:footnote w:id="2">
    <w:p w:rsidR="0029006C" w:rsidRPr="0029006C" w:rsidRDefault="0029006C" w:rsidP="0029006C">
      <w:pPr>
        <w:pStyle w:val="NormalWeb"/>
        <w:bidi/>
        <w:jc w:val="both"/>
        <w:rPr>
          <w:rFonts w:ascii="Noor_Badr" w:hAnsi="Noor_Badr" w:cs="Noor_Badr"/>
          <w:color w:val="000000"/>
          <w:lang w:bidi="fa-IR"/>
        </w:rPr>
      </w:pPr>
      <w:r w:rsidRPr="0029006C">
        <w:rPr>
          <w:rStyle w:val="FootnoteReference"/>
          <w:rFonts w:ascii="Noor_Badr" w:hAnsi="Noor_Badr" w:cs="Noor_Badr"/>
        </w:rPr>
        <w:footnoteRef/>
      </w:r>
      <w:r w:rsidRPr="0029006C">
        <w:rPr>
          <w:rFonts w:ascii="Noor_Badr" w:hAnsi="Noor_Badr" w:cs="Noor_Badr"/>
          <w:rtl/>
        </w:rPr>
        <w:t xml:space="preserve"> </w:t>
      </w:r>
      <w:r w:rsidRPr="0029006C">
        <w:rPr>
          <w:rFonts w:ascii="Noor_Badr" w:hAnsi="Noor_Badr" w:cs="Noor_Badr"/>
          <w:rtl/>
          <w:lang w:bidi="fa-IR"/>
        </w:rPr>
        <w:t xml:space="preserve">. </w:t>
      </w:r>
      <w:r w:rsidRPr="0029006C">
        <w:rPr>
          <w:rFonts w:ascii="Noor_Badr" w:hAnsi="Noor_Badr" w:cs="Noor_Badr"/>
          <w:color w:val="465BFF"/>
          <w:rtl/>
          <w:lang w:bidi="fa-IR"/>
        </w:rPr>
        <w:t>الجهة الثامنة الملازمة بين وجوب شي‏ء و وجوب مقدمته‏</w:t>
      </w:r>
      <w:r w:rsidRPr="0029006C">
        <w:rPr>
          <w:rFonts w:ascii="Noor_Badr" w:hAnsi="Noor_Badr" w:cs="Noor_Badr"/>
          <w:rtl/>
          <w:lang w:bidi="fa-IR"/>
        </w:rPr>
        <w:t xml:space="preserve"> </w:t>
      </w:r>
      <w:r w:rsidRPr="0029006C">
        <w:rPr>
          <w:rFonts w:ascii="Noor_Badr" w:hAnsi="Noor_Badr" w:cs="Noor_Badr"/>
          <w:color w:val="000000"/>
          <w:rtl/>
          <w:lang w:bidi="fa-IR"/>
        </w:rPr>
        <w:t>و الذي ينبغي أن يقال في هذا المقام، هو أن الوجوب له ثلاث مراحل:</w:t>
      </w:r>
      <w:r w:rsidRPr="0029006C">
        <w:rPr>
          <w:rFonts w:ascii="Noor_Badr" w:hAnsi="Noor_Badr" w:cs="Noor_Badr"/>
          <w:rtl/>
          <w:lang w:bidi="fa-IR"/>
        </w:rPr>
        <w:t xml:space="preserve"> </w:t>
      </w:r>
      <w:r w:rsidRPr="0029006C">
        <w:rPr>
          <w:rFonts w:ascii="Noor_Badr" w:hAnsi="Noor_Badr" w:cs="Noor_Badr"/>
          <w:color w:val="000000"/>
          <w:rtl/>
          <w:lang w:bidi="fa-IR"/>
        </w:rPr>
        <w:t>أ- عالم الملاك، أو عالم المصالح و المفاسد.</w:t>
      </w:r>
      <w:r w:rsidRPr="0029006C">
        <w:rPr>
          <w:rFonts w:ascii="Noor_Badr" w:hAnsi="Noor_Badr" w:cs="Noor_Badr"/>
          <w:rtl/>
          <w:lang w:bidi="fa-IR"/>
        </w:rPr>
        <w:t xml:space="preserve"> </w:t>
      </w:r>
      <w:r w:rsidRPr="0029006C">
        <w:rPr>
          <w:rFonts w:ascii="Noor_Badr" w:hAnsi="Noor_Badr" w:cs="Noor_Badr"/>
          <w:color w:val="000000"/>
          <w:rtl/>
          <w:lang w:bidi="fa-IR"/>
        </w:rPr>
        <w:t>ب- عالم الشوق و الحب و البغض.</w:t>
      </w:r>
      <w:r w:rsidRPr="0029006C">
        <w:rPr>
          <w:rFonts w:ascii="Noor_Badr" w:hAnsi="Noor_Badr" w:cs="Noor_Badr"/>
          <w:rtl/>
          <w:lang w:bidi="fa-IR"/>
        </w:rPr>
        <w:t xml:space="preserve"> </w:t>
      </w:r>
      <w:r w:rsidRPr="0029006C">
        <w:rPr>
          <w:rFonts w:ascii="Noor_Badr" w:hAnsi="Noor_Badr" w:cs="Noor_Badr"/>
          <w:color w:val="000000"/>
          <w:rtl/>
          <w:lang w:bidi="fa-IR"/>
        </w:rPr>
        <w:t>ج- عالم الجعل و الإنشاء و الاعتبار.</w:t>
      </w:r>
      <w:r w:rsidRPr="0029006C">
        <w:rPr>
          <w:rFonts w:ascii="Noor_Badr" w:hAnsi="Noor_Badr" w:cs="Noor_Badr"/>
          <w:rtl/>
          <w:lang w:bidi="fa-IR"/>
        </w:rPr>
        <w:t xml:space="preserve"> </w:t>
      </w:r>
      <w:r w:rsidRPr="0029006C">
        <w:rPr>
          <w:rFonts w:ascii="Noor_Badr" w:hAnsi="Noor_Badr" w:cs="Noor_Badr"/>
          <w:color w:val="000000"/>
          <w:rtl/>
          <w:lang w:bidi="fa-IR"/>
        </w:rPr>
        <w:t>و في المقام، لا ينبغي إدخال العالم الأول في النزاع و الخلاف، إذ لا ينبغي الخلاف في أنّه لا يوجد ملاك نفسي للمقدمة، و إلّا لكان خلف كونها واجبا غيريا، كما أنّه لا معنى لأن يقال: إن وجود مصلحة في ذي المقدمة يستوجب مصلحة نفسية في المقدمة، كما أنه لا إشكال في وجود مصلحة غيرية في المقدمة، و هي تسهيل الوصول إلى ذيها، إذن فالملاك النفسي في المقدمة مقطوع العدم، و إنّما ينحصر الخلاف في العالمين الآخرين في الملازمة بين وجوب الشي‏ء و وجوب مقدمته، و حينئذ يقال:</w:t>
      </w:r>
      <w:r w:rsidRPr="0029006C">
        <w:rPr>
          <w:rFonts w:ascii="Noor_Badr" w:hAnsi="Noor_Badr" w:cs="Noor_Badr"/>
          <w:rtl/>
          <w:lang w:bidi="fa-IR"/>
        </w:rPr>
        <w:t xml:space="preserve"> </w:t>
      </w:r>
      <w:r w:rsidRPr="0029006C">
        <w:rPr>
          <w:rFonts w:ascii="Noor_Badr" w:hAnsi="Noor_Badr" w:cs="Noor_Badr"/>
          <w:color w:val="000000"/>
          <w:rtl/>
          <w:lang w:bidi="fa-IR"/>
        </w:rPr>
        <w:t xml:space="preserve">إن الصحيح هو عدم وجود ملازمة بين الوجوبين في عالم الجعل و الإنشاء و الاعتبار، و ذلك لأن الملازمة المدّعاة، تارة تدّعى بنحو الاستتباع القهري، من قبيل استتباع الإحراق للإلقاء في النار، و أخرى تدّعى الملازمة بمعنى كون أحد الأمرين يحقق داعيا و مناسبة للّازم الآخر، من قبيل أن يزور زيدا فتكون هذه الزيارة داعيا لأن يزور أباه من دون استتباع قهري. </w:t>
      </w:r>
      <w:r w:rsidRPr="0029006C">
        <w:rPr>
          <w:rStyle w:val="FootnoteReference"/>
          <w:rFonts w:ascii="Noor_Badr" w:hAnsi="Noor_Badr" w:cs="Noor_Badr"/>
        </w:rPr>
        <w:footnoteRef/>
      </w:r>
      <w:r w:rsidRPr="0029006C">
        <w:rPr>
          <w:rFonts w:ascii="Noor_Badr" w:hAnsi="Noor_Badr" w:cs="Noor_Badr"/>
          <w:rtl/>
        </w:rPr>
        <w:t xml:space="preserve"> </w:t>
      </w:r>
      <w:r w:rsidRPr="0029006C">
        <w:rPr>
          <w:rFonts w:ascii="Noor_Badr" w:hAnsi="Noor_Badr" w:cs="Noor_Badr"/>
          <w:rtl/>
          <w:lang w:bidi="fa-IR"/>
        </w:rPr>
        <w:t xml:space="preserve">. </w:t>
      </w:r>
      <w:r w:rsidRPr="0029006C">
        <w:rPr>
          <w:rFonts w:ascii="Noor_Badr" w:hAnsi="Noor_Badr" w:cs="Noor_Badr"/>
          <w:color w:val="2A415C"/>
          <w:rtl/>
          <w:lang w:bidi="fa-IR"/>
        </w:rPr>
        <w:t>بحوث في علم الأصول، ج‏5، ص: 305</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353EC"/>
    <w:rsid w:val="00087FCF"/>
    <w:rsid w:val="001C0D4F"/>
    <w:rsid w:val="0023736A"/>
    <w:rsid w:val="0029006C"/>
    <w:rsid w:val="003B02F3"/>
    <w:rsid w:val="003B039E"/>
    <w:rsid w:val="004233F5"/>
    <w:rsid w:val="004353EC"/>
    <w:rsid w:val="00454E00"/>
    <w:rsid w:val="00464581"/>
    <w:rsid w:val="004F1412"/>
    <w:rsid w:val="00517A64"/>
    <w:rsid w:val="00633772"/>
    <w:rsid w:val="006D7F99"/>
    <w:rsid w:val="007243D5"/>
    <w:rsid w:val="007D38C3"/>
    <w:rsid w:val="00804BE9"/>
    <w:rsid w:val="00823FCF"/>
    <w:rsid w:val="008E29D6"/>
    <w:rsid w:val="008F7107"/>
    <w:rsid w:val="009E6094"/>
    <w:rsid w:val="009F01B0"/>
    <w:rsid w:val="00A53458"/>
    <w:rsid w:val="00B65E79"/>
    <w:rsid w:val="00C64FF3"/>
    <w:rsid w:val="00C764B4"/>
    <w:rsid w:val="00CC50A2"/>
    <w:rsid w:val="00CE4FC8"/>
    <w:rsid w:val="00D03474"/>
    <w:rsid w:val="00D74908"/>
    <w:rsid w:val="00D97A3D"/>
    <w:rsid w:val="00DD210B"/>
    <w:rsid w:val="00DF427B"/>
    <w:rsid w:val="00DF5144"/>
    <w:rsid w:val="00E17E81"/>
    <w:rsid w:val="00E466C0"/>
    <w:rsid w:val="00FF6FE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Noor_Badr" w:eastAsiaTheme="minorHAnsi" w:hAnsi="Noor_Badr" w:cs="Noor_Badr"/>
        <w:sz w:val="32"/>
        <w:szCs w:val="32"/>
        <w:lang w:val="en-US"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804BE9"/>
    <w:pPr>
      <w:bidi/>
    </w:pPr>
    <w:rPr>
      <w:rFonts w:ascii="Traditional Arabic" w:hAnsi="Traditional Arabic" w:cs="Traditional Arabic"/>
      <w:sz w:val="20"/>
      <w:szCs w:val="20"/>
    </w:rPr>
  </w:style>
  <w:style w:type="character" w:customStyle="1" w:styleId="FootnoteTextChar">
    <w:name w:val="Footnote Text Char"/>
    <w:basedOn w:val="DefaultParagraphFont"/>
    <w:link w:val="FootnoteText"/>
    <w:uiPriority w:val="99"/>
    <w:semiHidden/>
    <w:rsid w:val="00804BE9"/>
    <w:rPr>
      <w:rFonts w:ascii="Traditional Arabic" w:hAnsi="Traditional Arabic" w:cs="Traditional Arabic"/>
      <w:sz w:val="20"/>
      <w:szCs w:val="20"/>
    </w:rPr>
  </w:style>
  <w:style w:type="character" w:styleId="FootnoteReference">
    <w:name w:val="footnote reference"/>
    <w:basedOn w:val="DefaultParagraphFont"/>
    <w:uiPriority w:val="99"/>
    <w:semiHidden/>
    <w:unhideWhenUsed/>
    <w:rsid w:val="00804BE9"/>
    <w:rPr>
      <w:vertAlign w:val="superscript"/>
    </w:rPr>
  </w:style>
  <w:style w:type="paragraph" w:styleId="NormalWeb">
    <w:name w:val="Normal (Web)"/>
    <w:basedOn w:val="Normal"/>
    <w:uiPriority w:val="99"/>
    <w:unhideWhenUsed/>
    <w:rsid w:val="00B65E79"/>
    <w:pPr>
      <w:spacing w:before="100" w:beforeAutospacing="1" w:after="100" w:afterAutospacing="1"/>
      <w:jc w:val="left"/>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Noor_Badr" w:eastAsiaTheme="minorHAnsi" w:hAnsi="Noor_Badr" w:cs="Noor_Badr"/>
        <w:sz w:val="32"/>
        <w:szCs w:val="32"/>
        <w:lang w:val="en-US"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804BE9"/>
    <w:pPr>
      <w:bidi/>
    </w:pPr>
    <w:rPr>
      <w:rFonts w:ascii="Traditional Arabic" w:hAnsi="Traditional Arabic" w:cs="Traditional Arabic"/>
      <w:sz w:val="20"/>
      <w:szCs w:val="20"/>
    </w:rPr>
  </w:style>
  <w:style w:type="character" w:customStyle="1" w:styleId="FootnoteTextChar">
    <w:name w:val="Footnote Text Char"/>
    <w:basedOn w:val="DefaultParagraphFont"/>
    <w:link w:val="FootnoteText"/>
    <w:uiPriority w:val="99"/>
    <w:semiHidden/>
    <w:rsid w:val="00804BE9"/>
    <w:rPr>
      <w:rFonts w:ascii="Traditional Arabic" w:hAnsi="Traditional Arabic" w:cs="Traditional Arabic"/>
      <w:sz w:val="20"/>
      <w:szCs w:val="20"/>
    </w:rPr>
  </w:style>
  <w:style w:type="character" w:styleId="FootnoteReference">
    <w:name w:val="footnote reference"/>
    <w:basedOn w:val="DefaultParagraphFont"/>
    <w:uiPriority w:val="99"/>
    <w:semiHidden/>
    <w:unhideWhenUsed/>
    <w:rsid w:val="00804BE9"/>
    <w:rPr>
      <w:vertAlign w:val="superscript"/>
    </w:rPr>
  </w:style>
  <w:style w:type="paragraph" w:styleId="NormalWeb">
    <w:name w:val="Normal (Web)"/>
    <w:basedOn w:val="Normal"/>
    <w:uiPriority w:val="99"/>
    <w:unhideWhenUsed/>
    <w:rsid w:val="00B65E79"/>
    <w:pPr>
      <w:spacing w:before="100" w:beforeAutospacing="1" w:after="100" w:afterAutospacing="1"/>
      <w:jc w:val="left"/>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48328258">
      <w:bodyDiv w:val="1"/>
      <w:marLeft w:val="0"/>
      <w:marRight w:val="0"/>
      <w:marTop w:val="0"/>
      <w:marBottom w:val="0"/>
      <w:divBdr>
        <w:top w:val="none" w:sz="0" w:space="0" w:color="auto"/>
        <w:left w:val="none" w:sz="0" w:space="0" w:color="auto"/>
        <w:bottom w:val="none" w:sz="0" w:space="0" w:color="auto"/>
        <w:right w:val="none" w:sz="0" w:space="0" w:color="auto"/>
      </w:divBdr>
    </w:div>
    <w:div w:id="17113430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103</TotalTime>
  <Pages>3</Pages>
  <Words>274</Words>
  <Characters>1566</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hosein</dc:creator>
  <cp:lastModifiedBy>hosein</cp:lastModifiedBy>
  <cp:revision>22</cp:revision>
  <dcterms:created xsi:type="dcterms:W3CDTF">2020-01-06T04:28:00Z</dcterms:created>
  <dcterms:modified xsi:type="dcterms:W3CDTF">2020-01-07T09:57:00Z</dcterms:modified>
</cp:coreProperties>
</file>